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0C9" w:rsidRDefault="00A810C9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810C9" w:rsidRDefault="00A810C9">
      <w:pPr>
        <w:pStyle w:val="ConsPlusNormal"/>
        <w:jc w:val="both"/>
      </w:pPr>
    </w:p>
    <w:p w:rsidR="00A810C9" w:rsidRDefault="00A810C9">
      <w:pPr>
        <w:pStyle w:val="ConsPlusTitle"/>
        <w:jc w:val="center"/>
      </w:pPr>
      <w:r>
        <w:t>ПРАВИТЕЛЬСТВО РОССИЙСКОЙ ФЕДЕРАЦИИ</w:t>
      </w:r>
    </w:p>
    <w:p w:rsidR="00A810C9" w:rsidRDefault="00A810C9">
      <w:pPr>
        <w:pStyle w:val="ConsPlusTitle"/>
        <w:jc w:val="center"/>
      </w:pPr>
    </w:p>
    <w:p w:rsidR="00A810C9" w:rsidRDefault="00A810C9">
      <w:pPr>
        <w:pStyle w:val="ConsPlusTitle"/>
        <w:jc w:val="center"/>
      </w:pPr>
      <w:r>
        <w:t>ПОСТАНОВЛЕНИЕ</w:t>
      </w:r>
    </w:p>
    <w:p w:rsidR="00A810C9" w:rsidRDefault="00A810C9">
      <w:pPr>
        <w:pStyle w:val="ConsPlusTitle"/>
        <w:jc w:val="center"/>
      </w:pPr>
      <w:r>
        <w:t>от 28 августа 2015 г. N 898</w:t>
      </w:r>
    </w:p>
    <w:p w:rsidR="00A810C9" w:rsidRDefault="00A810C9">
      <w:pPr>
        <w:pStyle w:val="ConsPlusTitle"/>
        <w:jc w:val="center"/>
      </w:pPr>
    </w:p>
    <w:p w:rsidR="00A810C9" w:rsidRDefault="00A810C9">
      <w:pPr>
        <w:pStyle w:val="ConsPlusTitle"/>
        <w:jc w:val="center"/>
      </w:pPr>
      <w:r>
        <w:t>О ВНЕСЕНИИ ИЗМЕНЕНИЙ</w:t>
      </w:r>
    </w:p>
    <w:p w:rsidR="00A810C9" w:rsidRDefault="00A810C9">
      <w:pPr>
        <w:pStyle w:val="ConsPlusTitle"/>
        <w:jc w:val="center"/>
      </w:pPr>
      <w:r>
        <w:t xml:space="preserve">В ПУНКТ 7 ПРАВИЛ УСТАНОВЛЕНИЯ ТРЕБОВАНИЙ </w:t>
      </w:r>
      <w:proofErr w:type="gramStart"/>
      <w:r>
        <w:t>ЭНЕРГЕТИЧЕСКОЙ</w:t>
      </w:r>
      <w:proofErr w:type="gramEnd"/>
    </w:p>
    <w:p w:rsidR="00A810C9" w:rsidRDefault="00A810C9">
      <w:pPr>
        <w:pStyle w:val="ConsPlusTitle"/>
        <w:jc w:val="center"/>
      </w:pPr>
      <w:r>
        <w:t>ЭФФЕКТИВНОСТИ ТОВАРОВ, РАБОТ, УСЛУГ ПРИ ОСУЩЕСТВЛЕНИИ</w:t>
      </w:r>
    </w:p>
    <w:p w:rsidR="00A810C9" w:rsidRDefault="00A810C9">
      <w:pPr>
        <w:pStyle w:val="ConsPlusTitle"/>
        <w:jc w:val="center"/>
      </w:pPr>
      <w:r>
        <w:t>ЗАКУПОК ДЛЯ ОБЕСПЕЧЕНИЯ ГОСУДАРСТВЕННЫХ</w:t>
      </w:r>
    </w:p>
    <w:p w:rsidR="00A810C9" w:rsidRDefault="00A810C9">
      <w:pPr>
        <w:pStyle w:val="ConsPlusTitle"/>
        <w:jc w:val="center"/>
      </w:pPr>
      <w:r>
        <w:t>И МУНИЦИПАЛЬНЫХ НУЖД</w:t>
      </w:r>
    </w:p>
    <w:p w:rsidR="00A810C9" w:rsidRDefault="00A810C9">
      <w:pPr>
        <w:pStyle w:val="ConsPlusNormal"/>
        <w:ind w:firstLine="540"/>
        <w:jc w:val="both"/>
      </w:pPr>
    </w:p>
    <w:p w:rsidR="00A810C9" w:rsidRDefault="00A810C9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A810C9" w:rsidRDefault="00A810C9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прилагаемые </w:t>
      </w:r>
      <w:hyperlink w:anchor="P29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6" w:history="1">
        <w:r>
          <w:rPr>
            <w:color w:val="0000FF"/>
          </w:rPr>
          <w:t>пункт 7</w:t>
        </w:r>
      </w:hyperlink>
      <w:r>
        <w:t xml:space="preserve">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нужд, утвержденных постановлением Правительства Российской Федерации от 31 декабря 2009 г. N 1221 "Об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нужд" (Собрание законодательства Российской Федерации</w:t>
      </w:r>
      <w:proofErr w:type="gramEnd"/>
      <w:r>
        <w:t xml:space="preserve">, </w:t>
      </w:r>
      <w:proofErr w:type="gramStart"/>
      <w:r>
        <w:t>2010, N 5, ст. 525; 2014, N 50, ст. 7093).</w:t>
      </w:r>
      <w:proofErr w:type="gramEnd"/>
    </w:p>
    <w:p w:rsidR="00A810C9" w:rsidRDefault="00A810C9">
      <w:pPr>
        <w:pStyle w:val="ConsPlusNormal"/>
        <w:ind w:firstLine="540"/>
        <w:jc w:val="both"/>
      </w:pPr>
      <w:r>
        <w:t>2. Настоящее постановление вступает в силу с 1 июля 2016 г.</w:t>
      </w:r>
    </w:p>
    <w:p w:rsidR="00A810C9" w:rsidRDefault="00A810C9">
      <w:pPr>
        <w:pStyle w:val="ConsPlusNormal"/>
        <w:ind w:firstLine="540"/>
        <w:jc w:val="both"/>
      </w:pPr>
    </w:p>
    <w:p w:rsidR="00A810C9" w:rsidRDefault="00A810C9">
      <w:pPr>
        <w:pStyle w:val="ConsPlusNormal"/>
        <w:jc w:val="right"/>
      </w:pPr>
      <w:r>
        <w:t>Председатель Правительства</w:t>
      </w:r>
    </w:p>
    <w:p w:rsidR="00A810C9" w:rsidRDefault="00A810C9">
      <w:pPr>
        <w:pStyle w:val="ConsPlusNormal"/>
        <w:jc w:val="right"/>
      </w:pPr>
      <w:r>
        <w:t>Российской Федерации</w:t>
      </w:r>
    </w:p>
    <w:p w:rsidR="00A810C9" w:rsidRDefault="00A810C9">
      <w:pPr>
        <w:pStyle w:val="ConsPlusNormal"/>
        <w:jc w:val="right"/>
      </w:pPr>
      <w:r>
        <w:t>Д.МЕДВЕДЕВ</w:t>
      </w:r>
    </w:p>
    <w:p w:rsidR="00A810C9" w:rsidRDefault="00A810C9">
      <w:pPr>
        <w:pStyle w:val="ConsPlusNormal"/>
        <w:ind w:firstLine="540"/>
        <w:jc w:val="both"/>
      </w:pPr>
    </w:p>
    <w:p w:rsidR="00A810C9" w:rsidRDefault="00A810C9">
      <w:pPr>
        <w:pStyle w:val="ConsPlusNormal"/>
        <w:ind w:firstLine="540"/>
        <w:jc w:val="both"/>
      </w:pPr>
    </w:p>
    <w:p w:rsidR="00A810C9" w:rsidRDefault="00A810C9">
      <w:pPr>
        <w:pStyle w:val="ConsPlusNormal"/>
        <w:ind w:firstLine="540"/>
        <w:jc w:val="both"/>
      </w:pPr>
    </w:p>
    <w:p w:rsidR="00A810C9" w:rsidRDefault="00A810C9">
      <w:pPr>
        <w:pStyle w:val="ConsPlusNormal"/>
        <w:ind w:firstLine="540"/>
        <w:jc w:val="both"/>
      </w:pPr>
    </w:p>
    <w:p w:rsidR="00A810C9" w:rsidRDefault="00A810C9">
      <w:pPr>
        <w:pStyle w:val="ConsPlusNormal"/>
        <w:ind w:firstLine="540"/>
        <w:jc w:val="both"/>
      </w:pPr>
    </w:p>
    <w:p w:rsidR="00A810C9" w:rsidRDefault="00A810C9">
      <w:pPr>
        <w:pStyle w:val="ConsPlusNormal"/>
        <w:jc w:val="right"/>
      </w:pPr>
      <w:r>
        <w:t>Утверждены</w:t>
      </w:r>
    </w:p>
    <w:p w:rsidR="00A810C9" w:rsidRDefault="00A810C9">
      <w:pPr>
        <w:pStyle w:val="ConsPlusNormal"/>
        <w:jc w:val="right"/>
      </w:pPr>
      <w:r>
        <w:t>постановлением Правительства</w:t>
      </w:r>
    </w:p>
    <w:p w:rsidR="00A810C9" w:rsidRDefault="00A810C9">
      <w:pPr>
        <w:pStyle w:val="ConsPlusNormal"/>
        <w:jc w:val="right"/>
      </w:pPr>
      <w:r>
        <w:t>Российской Федерации</w:t>
      </w:r>
    </w:p>
    <w:p w:rsidR="00A810C9" w:rsidRDefault="00A810C9">
      <w:pPr>
        <w:pStyle w:val="ConsPlusNormal"/>
        <w:jc w:val="right"/>
      </w:pPr>
      <w:r>
        <w:t>от 28 августа 2015 г. N 898</w:t>
      </w:r>
    </w:p>
    <w:p w:rsidR="00A810C9" w:rsidRDefault="00A810C9">
      <w:pPr>
        <w:pStyle w:val="ConsPlusNormal"/>
        <w:ind w:firstLine="540"/>
        <w:jc w:val="both"/>
      </w:pPr>
    </w:p>
    <w:p w:rsidR="00A810C9" w:rsidRDefault="00A810C9">
      <w:pPr>
        <w:pStyle w:val="ConsPlusTitle"/>
        <w:jc w:val="center"/>
      </w:pPr>
      <w:bookmarkStart w:id="1" w:name="P29"/>
      <w:bookmarkEnd w:id="1"/>
      <w:r>
        <w:t>ИЗМЕНЕНИЯ,</w:t>
      </w:r>
    </w:p>
    <w:p w:rsidR="00A810C9" w:rsidRDefault="00A810C9">
      <w:pPr>
        <w:pStyle w:val="ConsPlusTitle"/>
        <w:jc w:val="center"/>
      </w:pPr>
      <w:r>
        <w:t>КОТОРЫЕ ВНОСЯТСЯ В ПУНКТ 7 ПРАВИЛ УСТАНОВЛЕНИЯ</w:t>
      </w:r>
    </w:p>
    <w:p w:rsidR="00A810C9" w:rsidRDefault="00A810C9">
      <w:pPr>
        <w:pStyle w:val="ConsPlusTitle"/>
        <w:jc w:val="center"/>
      </w:pPr>
      <w:r>
        <w:t>ТРЕБОВАНИЙ ЭНЕРГЕТИЧЕСКОЙ ЭФФЕКТИВНОСТИ ТОВАРОВ, РАБОТ,</w:t>
      </w:r>
    </w:p>
    <w:p w:rsidR="00A810C9" w:rsidRDefault="00A810C9">
      <w:pPr>
        <w:pStyle w:val="ConsPlusTitle"/>
        <w:jc w:val="center"/>
      </w:pPr>
      <w:r>
        <w:t>УСЛУГ ПРИ ОСУЩЕСТВЛЕНИИ ЗАКУПОК ДЛЯ ОБЕСПЕЧЕНИЯ</w:t>
      </w:r>
    </w:p>
    <w:p w:rsidR="00A810C9" w:rsidRDefault="00A810C9">
      <w:pPr>
        <w:pStyle w:val="ConsPlusTitle"/>
        <w:jc w:val="center"/>
      </w:pPr>
      <w:r>
        <w:t>ГОСУДАРСТВЕННЫХ И МУНИЦИПАЛЬНЫХ НУЖД</w:t>
      </w:r>
    </w:p>
    <w:p w:rsidR="00A810C9" w:rsidRDefault="00A810C9">
      <w:pPr>
        <w:pStyle w:val="ConsPlusNormal"/>
        <w:ind w:firstLine="540"/>
        <w:jc w:val="both"/>
      </w:pPr>
    </w:p>
    <w:p w:rsidR="00A810C9" w:rsidRDefault="00A810C9">
      <w:pPr>
        <w:pStyle w:val="ConsPlusNormal"/>
        <w:ind w:firstLine="540"/>
        <w:jc w:val="both"/>
      </w:pPr>
      <w:r>
        <w:t xml:space="preserve">1. </w:t>
      </w:r>
      <w:hyperlink r:id="rId7" w:history="1">
        <w:r>
          <w:rPr>
            <w:color w:val="0000FF"/>
          </w:rPr>
          <w:t>Подпункт "а"</w:t>
        </w:r>
      </w:hyperlink>
      <w:r>
        <w:t xml:space="preserve"> после слов "классы энергетической эффективности" дополнить словами "(за исключением ламп электрических бытовых)".</w:t>
      </w:r>
    </w:p>
    <w:p w:rsidR="00A810C9" w:rsidRDefault="00A810C9">
      <w:pPr>
        <w:pStyle w:val="ConsPlusNormal"/>
        <w:ind w:firstLine="540"/>
        <w:jc w:val="both"/>
      </w:pPr>
      <w:r>
        <w:t xml:space="preserve">2. </w:t>
      </w:r>
      <w:hyperlink r:id="rId8" w:history="1">
        <w:r>
          <w:rPr>
            <w:color w:val="0000FF"/>
          </w:rPr>
          <w:t>Дополнить</w:t>
        </w:r>
      </w:hyperlink>
      <w:r>
        <w:t xml:space="preserve"> подпунктами "е" и "ж" следующего содержания:</w:t>
      </w:r>
    </w:p>
    <w:p w:rsidR="00A810C9" w:rsidRDefault="00A810C9">
      <w:pPr>
        <w:pStyle w:val="ConsPlusNormal"/>
        <w:ind w:firstLine="540"/>
        <w:jc w:val="both"/>
      </w:pPr>
      <w:r>
        <w:t>"е) для ламп электрических, работающих от электрической сети переменного тока напряжением 220</w:t>
      </w:r>
      <w:proofErr w:type="gramStart"/>
      <w:r>
        <w:t xml:space="preserve"> В</w:t>
      </w:r>
      <w:proofErr w:type="gramEnd"/>
      <w:r>
        <w:t>:</w:t>
      </w:r>
    </w:p>
    <w:p w:rsidR="00A810C9" w:rsidRDefault="00A810C9">
      <w:pPr>
        <w:pStyle w:val="ConsPlusNormal"/>
        <w:ind w:firstLine="540"/>
        <w:jc w:val="both"/>
      </w:pPr>
      <w:r>
        <w:t>наличие класса энергетической эффективности не ниже первых двух наивысших классов, в отношении которых уполномоченным федеральным органом исполнительной власти определены классы энергетической эффективности;</w:t>
      </w:r>
    </w:p>
    <w:p w:rsidR="00A810C9" w:rsidRDefault="00A810C9">
      <w:pPr>
        <w:pStyle w:val="ConsPlusNormal"/>
        <w:ind w:firstLine="540"/>
        <w:jc w:val="both"/>
      </w:pPr>
      <w:r>
        <w:t>запрет на приобретение двухцокольных люминесцентных ламп диаметром 26 - 38 мм с люминофором галофосфат кальция и индексом цветопередачи менее 80 с цоколем G13;</w:t>
      </w:r>
    </w:p>
    <w:p w:rsidR="00A810C9" w:rsidRDefault="00A810C9">
      <w:pPr>
        <w:pStyle w:val="ConsPlusNormal"/>
        <w:ind w:firstLine="540"/>
        <w:jc w:val="both"/>
      </w:pPr>
      <w:r>
        <w:t>запрет на приобретение дуговых ртутных люминесцентных ламп;</w:t>
      </w:r>
    </w:p>
    <w:p w:rsidR="00A810C9" w:rsidRDefault="00A810C9">
      <w:pPr>
        <w:pStyle w:val="ConsPlusNormal"/>
        <w:ind w:firstLine="540"/>
        <w:jc w:val="both"/>
      </w:pPr>
      <w:r>
        <w:lastRenderedPageBreak/>
        <w:t>запрет на приобретение ламп люминесцентных со встроенным пускорегулирующим аппаратом (компактных люминесцентных ламп), за исключением случаев, когда для освещения в соответствии с санитарными правилами и нормами, устанавливающими требования к искусственному и смешанному освещению, не могут применяться светодиодные источники света;</w:t>
      </w:r>
    </w:p>
    <w:p w:rsidR="00A810C9" w:rsidRDefault="00A810C9">
      <w:pPr>
        <w:pStyle w:val="ConsPlusNormal"/>
        <w:ind w:firstLine="540"/>
        <w:jc w:val="both"/>
      </w:pPr>
      <w:r>
        <w:t>ж) для светильников для наружного освещения и светильников для освещения жилых и общественных зданий, а также пускорегулирующих устройств:</w:t>
      </w:r>
    </w:p>
    <w:p w:rsidR="00A810C9" w:rsidRDefault="00A810C9">
      <w:pPr>
        <w:pStyle w:val="ConsPlusNormal"/>
        <w:ind w:firstLine="540"/>
        <w:jc w:val="both"/>
      </w:pPr>
      <w:r>
        <w:t>запрет на приобретение неэлектронных пускорегулирующих аппаратов для трубчатых люминесцентных ламп;</w:t>
      </w:r>
    </w:p>
    <w:p w:rsidR="00A810C9" w:rsidRDefault="00A810C9">
      <w:pPr>
        <w:pStyle w:val="ConsPlusNormal"/>
        <w:ind w:firstLine="540"/>
        <w:jc w:val="both"/>
      </w:pPr>
      <w:r>
        <w:t>запрет на приобретение светильников для дуговых ртутных люминесцентных ламп;</w:t>
      </w:r>
    </w:p>
    <w:p w:rsidR="00A810C9" w:rsidRDefault="00A810C9">
      <w:pPr>
        <w:pStyle w:val="ConsPlusNormal"/>
        <w:ind w:firstLine="540"/>
        <w:jc w:val="both"/>
      </w:pPr>
      <w:r>
        <w:t>запрет на приобретение светильников для двухцокольных люминесцентных ламп с цоколем G13, за исключением случаев, когда для освещения в соответствии с санитарными правилами и нормами, устанавливающими требования к искусственному и смешанному освещению, не могут применяться светодиодные источники света</w:t>
      </w:r>
      <w:proofErr w:type="gramStart"/>
      <w:r>
        <w:t>.".</w:t>
      </w:r>
      <w:proofErr w:type="gramEnd"/>
    </w:p>
    <w:p w:rsidR="00A810C9" w:rsidRDefault="00A810C9">
      <w:pPr>
        <w:pStyle w:val="ConsPlusNormal"/>
        <w:ind w:firstLine="540"/>
        <w:jc w:val="both"/>
      </w:pPr>
    </w:p>
    <w:p w:rsidR="00A810C9" w:rsidRDefault="00A810C9">
      <w:pPr>
        <w:pStyle w:val="ConsPlusNormal"/>
        <w:ind w:firstLine="540"/>
        <w:jc w:val="both"/>
      </w:pPr>
    </w:p>
    <w:p w:rsidR="00A810C9" w:rsidRDefault="00A810C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3AE6" w:rsidRDefault="00C13AE6"/>
    <w:sectPr w:rsidR="00C13AE6" w:rsidSect="00C32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0C9"/>
    <w:rsid w:val="00A810C9"/>
    <w:rsid w:val="00C1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1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1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10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1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1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10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68279F9C387A8F1BE1B69BD582B38EF74AB1544A69C372E2939273A3A8597E42041DE00157564046j7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68279F9C387A8F1BE1B69BD582B38EF74AB1544A69C372E2939273A3A8597E42041DE00157564046j4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68279F9C387A8F1BE1B69BD582B38EF74AB1544A69C372E2939273A3A8597E42041DE00157564046j7F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2015-09-07T05:35:00Z</dcterms:created>
  <dcterms:modified xsi:type="dcterms:W3CDTF">2015-09-07T05:36:00Z</dcterms:modified>
</cp:coreProperties>
</file>